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49" w:rsidRDefault="00634A49" w:rsidP="0064435A">
      <w:pPr>
        <w:spacing w:after="0" w:line="240" w:lineRule="auto"/>
        <w:rPr>
          <w:rFonts w:ascii="Renins Light" w:hAnsi="Renins Light"/>
          <w:b/>
          <w:sz w:val="32"/>
          <w:szCs w:val="32"/>
        </w:rPr>
      </w:pPr>
    </w:p>
    <w:tbl>
      <w:tblPr>
        <w:tblStyle w:val="a5"/>
        <w:tblW w:w="109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6"/>
        <w:gridCol w:w="7969"/>
      </w:tblGrid>
      <w:tr w:rsidR="00826C10" w:rsidTr="007A534C">
        <w:tc>
          <w:tcPr>
            <w:tcW w:w="1985" w:type="dxa"/>
          </w:tcPr>
          <w:p w:rsidR="00826C10" w:rsidRPr="00EB4E07" w:rsidRDefault="00826C10" w:rsidP="00DD7B4B">
            <w:pPr>
              <w:jc w:val="center"/>
              <w:rPr>
                <w:rFonts w:ascii="Renins Light" w:hAnsi="Renins Light"/>
                <w:b/>
                <w:color w:val="56004E"/>
                <w:sz w:val="2"/>
                <w:szCs w:val="2"/>
              </w:rPr>
            </w:pPr>
          </w:p>
          <w:p w:rsidR="009F073A" w:rsidRDefault="009F073A" w:rsidP="00DD7B4B">
            <w:pPr>
              <w:jc w:val="center"/>
              <w:rPr>
                <w:rFonts w:ascii="Renins Light" w:hAnsi="Renins Light"/>
                <w:b/>
                <w:color w:val="56004E"/>
                <w:sz w:val="28"/>
                <w:szCs w:val="28"/>
              </w:rPr>
            </w:pPr>
            <w:r>
              <w:rPr>
                <w:rFonts w:ascii="Renins Light" w:hAnsi="Renins Light"/>
                <w:b/>
                <w:noProof/>
                <w:color w:val="56004E"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1278731"/>
                  <wp:effectExtent l="19050" t="0" r="9525" b="0"/>
                  <wp:docPr id="5" name="Рисунок 4" descr="лиф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фт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23" cy="128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736311" w:rsidRPr="007A534C" w:rsidRDefault="00736311" w:rsidP="00736311">
            <w:pPr>
              <w:ind w:left="176" w:right="990"/>
              <w:jc w:val="center"/>
              <w:rPr>
                <w:rFonts w:ascii="Renins Light" w:hAnsi="Renins Light"/>
                <w:b/>
                <w:color w:val="56004E"/>
                <w:sz w:val="10"/>
                <w:szCs w:val="10"/>
              </w:rPr>
            </w:pPr>
          </w:p>
          <w:p w:rsidR="007A534C" w:rsidRDefault="00D042A2" w:rsidP="007A534C">
            <w:pPr>
              <w:ind w:left="176" w:right="175"/>
              <w:jc w:val="center"/>
              <w:rPr>
                <w:rFonts w:ascii="Renins Light" w:hAnsi="Renins Light"/>
                <w:b/>
                <w:color w:val="56004E"/>
                <w:sz w:val="28"/>
                <w:szCs w:val="28"/>
              </w:rPr>
            </w:pPr>
            <w:r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С 1 января 2013 года для владельцев лифтов и </w:t>
            </w:r>
            <w:r w:rsidR="00A61800">
              <w:rPr>
                <w:rFonts w:ascii="Renins Light" w:hAnsi="Renins Light"/>
                <w:b/>
                <w:color w:val="56004E"/>
                <w:sz w:val="28"/>
                <w:szCs w:val="28"/>
              </w:rPr>
              <w:t>э</w:t>
            </w:r>
            <w:r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скалаторов </w:t>
            </w:r>
            <w:r w:rsidR="00A61800"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 </w:t>
            </w:r>
            <w:r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в многоквартирных домах вступают в силу положения </w:t>
            </w:r>
            <w:r w:rsidR="00147B99"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      </w:t>
            </w:r>
            <w:r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ФЗ-225 </w:t>
            </w:r>
            <w:r w:rsidRPr="00D042A2"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«Об обязательном страховании гражданской ответственности владельца опасного объекта </w:t>
            </w:r>
            <w:r>
              <w:rPr>
                <w:rFonts w:ascii="Renins Light" w:hAnsi="Renins Light"/>
                <w:b/>
                <w:color w:val="56004E"/>
                <w:sz w:val="28"/>
                <w:szCs w:val="28"/>
              </w:rPr>
              <w:t>з</w:t>
            </w:r>
            <w:r w:rsidRPr="00D042A2">
              <w:rPr>
                <w:rFonts w:ascii="Renins Light" w:hAnsi="Renins Light"/>
                <w:b/>
                <w:color w:val="56004E"/>
                <w:sz w:val="28"/>
                <w:szCs w:val="28"/>
              </w:rPr>
              <w:t>а причинение вреда в результате</w:t>
            </w:r>
            <w:r w:rsidR="00A61800"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 </w:t>
            </w:r>
            <w:r w:rsidRPr="00D042A2">
              <w:rPr>
                <w:rFonts w:ascii="Renins Light" w:hAnsi="Renins Light"/>
                <w:b/>
                <w:color w:val="56004E"/>
                <w:sz w:val="28"/>
                <w:szCs w:val="28"/>
              </w:rPr>
              <w:t xml:space="preserve">аварии </w:t>
            </w:r>
          </w:p>
          <w:p w:rsidR="00826C10" w:rsidRPr="00736311" w:rsidRDefault="00D042A2" w:rsidP="007A534C">
            <w:pPr>
              <w:ind w:left="176" w:right="175"/>
              <w:jc w:val="center"/>
              <w:rPr>
                <w:rFonts w:ascii="Renins Light" w:hAnsi="Renins Light"/>
                <w:b/>
                <w:color w:val="56004E"/>
                <w:sz w:val="28"/>
                <w:szCs w:val="28"/>
              </w:rPr>
            </w:pPr>
            <w:r w:rsidRPr="00D042A2">
              <w:rPr>
                <w:rFonts w:ascii="Renins Light" w:hAnsi="Renins Light"/>
                <w:b/>
                <w:color w:val="56004E"/>
                <w:sz w:val="28"/>
                <w:szCs w:val="28"/>
              </w:rPr>
              <w:t>на оп</w:t>
            </w:r>
            <w:r w:rsidR="007A534C">
              <w:rPr>
                <w:rFonts w:ascii="Renins Light" w:hAnsi="Renins Light"/>
                <w:b/>
                <w:color w:val="56004E"/>
                <w:sz w:val="28"/>
                <w:szCs w:val="28"/>
              </w:rPr>
              <w:t>асном объекте».</w:t>
            </w:r>
          </w:p>
          <w:p w:rsidR="00826C10" w:rsidRPr="00EB4E07" w:rsidRDefault="00826C10" w:rsidP="00DD7B4B">
            <w:pPr>
              <w:jc w:val="center"/>
              <w:rPr>
                <w:rFonts w:ascii="Renins Light" w:hAnsi="Renins Light"/>
                <w:b/>
                <w:color w:val="56004E"/>
                <w:sz w:val="10"/>
                <w:szCs w:val="10"/>
              </w:rPr>
            </w:pPr>
          </w:p>
        </w:tc>
      </w:tr>
    </w:tbl>
    <w:p w:rsidR="00BD6689" w:rsidRPr="00BD6689" w:rsidRDefault="00BD6689" w:rsidP="00347FF2">
      <w:pPr>
        <w:spacing w:after="0" w:line="240" w:lineRule="auto"/>
        <w:jc w:val="both"/>
        <w:rPr>
          <w:rFonts w:ascii="Renins Light" w:hAnsi="Renins Light"/>
          <w:b/>
          <w:color w:val="000000" w:themeColor="text1"/>
          <w:spacing w:val="-4"/>
          <w:sz w:val="6"/>
          <w:szCs w:val="6"/>
        </w:rPr>
      </w:pPr>
    </w:p>
    <w:p w:rsidR="00035622" w:rsidRPr="00600C26" w:rsidRDefault="00561569" w:rsidP="00347FF2">
      <w:pPr>
        <w:spacing w:after="0" w:line="240" w:lineRule="auto"/>
        <w:jc w:val="both"/>
        <w:rPr>
          <w:rFonts w:ascii="Renins Light" w:hAnsi="Renins Light"/>
          <w:color w:val="000000" w:themeColor="text1"/>
          <w:spacing w:val="-4"/>
          <w:sz w:val="24"/>
          <w:szCs w:val="24"/>
        </w:rPr>
      </w:pPr>
      <w:r w:rsidRPr="00224A91">
        <w:rPr>
          <w:rFonts w:ascii="Renins Light" w:hAnsi="Renins Light"/>
          <w:b/>
          <w:color w:val="000000" w:themeColor="text1"/>
          <w:spacing w:val="-4"/>
          <w:sz w:val="24"/>
          <w:szCs w:val="24"/>
        </w:rPr>
        <w:t>Нарушение требований 225-ФЗ влечет за собой наложение штрафа</w:t>
      </w:r>
      <w:r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 xml:space="preserve"> на </w:t>
      </w:r>
      <w:r w:rsidR="00D042A2"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 xml:space="preserve">юридическое лицо </w:t>
      </w:r>
      <w:r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 xml:space="preserve">от 300 000 до 500 000 руб.  и на его руководителя от 15 000 до 30 000 руб. </w:t>
      </w:r>
    </w:p>
    <w:p w:rsidR="0011542C" w:rsidRPr="00600C26" w:rsidRDefault="0011542C" w:rsidP="00347FF2">
      <w:pPr>
        <w:spacing w:after="0" w:line="240" w:lineRule="auto"/>
        <w:jc w:val="both"/>
        <w:rPr>
          <w:rFonts w:ascii="Renins Light" w:hAnsi="Renins Light"/>
          <w:color w:val="000000" w:themeColor="text1"/>
          <w:spacing w:val="-4"/>
          <w:sz w:val="8"/>
          <w:szCs w:val="8"/>
        </w:rPr>
      </w:pPr>
    </w:p>
    <w:p w:rsidR="0011542C" w:rsidRPr="00600C26" w:rsidRDefault="00D042A2" w:rsidP="00347FF2">
      <w:pPr>
        <w:spacing w:after="0" w:line="240" w:lineRule="auto"/>
        <w:jc w:val="both"/>
        <w:rPr>
          <w:rFonts w:ascii="Renins Light" w:hAnsi="Renins Light"/>
          <w:color w:val="000000" w:themeColor="text1"/>
          <w:spacing w:val="-4"/>
          <w:sz w:val="24"/>
          <w:szCs w:val="24"/>
        </w:rPr>
      </w:pPr>
      <w:r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>Заключать договоры страхования ответственности владельцев опасных объектов могут т</w:t>
      </w:r>
      <w:r w:rsidR="0011542C"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>олько те страховые компании, кот</w:t>
      </w:r>
      <w:r w:rsidR="00600C26"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>орые вошли в Национальный Союз С</w:t>
      </w:r>
      <w:r w:rsidR="0011542C"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>трах</w:t>
      </w:r>
      <w:r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>овщиков Ответственности (НССО)</w:t>
      </w:r>
      <w:r w:rsidR="0011542C" w:rsidRPr="00600C26">
        <w:rPr>
          <w:rFonts w:ascii="Renins Light" w:hAnsi="Renins Light"/>
          <w:color w:val="000000" w:themeColor="text1"/>
          <w:spacing w:val="-4"/>
          <w:sz w:val="24"/>
          <w:szCs w:val="24"/>
        </w:rPr>
        <w:t xml:space="preserve">. </w:t>
      </w:r>
    </w:p>
    <w:p w:rsidR="00D042A2" w:rsidRPr="00600C26" w:rsidRDefault="0064435A" w:rsidP="0064435A">
      <w:pPr>
        <w:spacing w:before="60" w:after="60" w:line="240" w:lineRule="auto"/>
        <w:rPr>
          <w:rFonts w:ascii="Renins Light" w:hAnsi="Renins Light"/>
          <w:b/>
          <w:color w:val="56004E"/>
          <w:sz w:val="28"/>
          <w:szCs w:val="28"/>
        </w:rPr>
      </w:pPr>
      <w:r>
        <w:rPr>
          <w:rFonts w:ascii="Renins Light" w:hAnsi="Renins Light"/>
          <w:b/>
          <w:color w:val="56004E"/>
          <w:sz w:val="10"/>
          <w:szCs w:val="10"/>
        </w:rPr>
        <w:t xml:space="preserve">                                                       </w:t>
      </w:r>
      <w:r w:rsidR="00D042A2" w:rsidRPr="00600C26">
        <w:rPr>
          <w:rFonts w:ascii="Renins Light" w:hAnsi="Renins Light"/>
          <w:b/>
          <w:color w:val="56004E"/>
          <w:sz w:val="28"/>
          <w:szCs w:val="28"/>
        </w:rPr>
        <w:t xml:space="preserve">Условия обязательного страхования ответственности </w:t>
      </w:r>
    </w:p>
    <w:p w:rsidR="00D042A2" w:rsidRPr="00600C26" w:rsidRDefault="00D042A2" w:rsidP="00D042A2">
      <w:pPr>
        <w:spacing w:after="0" w:line="240" w:lineRule="auto"/>
        <w:jc w:val="center"/>
        <w:rPr>
          <w:rFonts w:ascii="Renins Light" w:hAnsi="Renins Light"/>
          <w:b/>
          <w:color w:val="56004E"/>
          <w:sz w:val="28"/>
          <w:szCs w:val="28"/>
        </w:rPr>
      </w:pPr>
      <w:r w:rsidRPr="00600C26">
        <w:rPr>
          <w:rFonts w:ascii="Renins Light" w:hAnsi="Renins Light"/>
          <w:b/>
          <w:color w:val="56004E"/>
          <w:sz w:val="28"/>
          <w:szCs w:val="28"/>
        </w:rPr>
        <w:t>владельцев лифтов в многоквартирных домах:</w:t>
      </w:r>
    </w:p>
    <w:p w:rsidR="00D042A2" w:rsidRPr="00600C26" w:rsidRDefault="00D042A2" w:rsidP="00D042A2">
      <w:pPr>
        <w:spacing w:after="0" w:line="240" w:lineRule="auto"/>
        <w:jc w:val="both"/>
        <w:rPr>
          <w:rFonts w:ascii="Renins Light" w:hAnsi="Renins Light"/>
          <w:color w:val="000000" w:themeColor="text1"/>
          <w:sz w:val="10"/>
          <w:szCs w:val="10"/>
        </w:rPr>
      </w:pPr>
    </w:p>
    <w:p w:rsidR="00D042A2" w:rsidRPr="0064435A" w:rsidRDefault="00D042A2" w:rsidP="00D042A2">
      <w:pPr>
        <w:spacing w:after="0" w:line="240" w:lineRule="auto"/>
        <w:jc w:val="both"/>
        <w:rPr>
          <w:rFonts w:ascii="Renins Light" w:hAnsi="Renins Light"/>
          <w:b/>
          <w:color w:val="56004E"/>
          <w:sz w:val="20"/>
          <w:szCs w:val="20"/>
        </w:rPr>
      </w:pPr>
      <w:r w:rsidRPr="0064435A">
        <w:rPr>
          <w:rFonts w:ascii="Renins Light" w:hAnsi="Renins Light"/>
          <w:b/>
          <w:color w:val="56004E"/>
          <w:sz w:val="20"/>
          <w:szCs w:val="20"/>
        </w:rPr>
        <w:t>Страховая сумма</w:t>
      </w:r>
      <w:r w:rsidRPr="0064435A">
        <w:rPr>
          <w:rFonts w:ascii="Renins Light" w:hAnsi="Renins Light"/>
          <w:color w:val="000000" w:themeColor="text1"/>
          <w:sz w:val="20"/>
          <w:szCs w:val="20"/>
        </w:rPr>
        <w:t xml:space="preserve"> </w:t>
      </w:r>
      <w:r w:rsidRPr="0064435A">
        <w:rPr>
          <w:rFonts w:ascii="Renins Light" w:hAnsi="Renins Light"/>
          <w:b/>
          <w:color w:val="56004E"/>
          <w:sz w:val="20"/>
          <w:szCs w:val="20"/>
        </w:rPr>
        <w:t xml:space="preserve">– 10 000 000 руб. </w:t>
      </w:r>
    </w:p>
    <w:p w:rsidR="00D042A2" w:rsidRPr="0064435A" w:rsidRDefault="00D042A2" w:rsidP="00D042A2">
      <w:pPr>
        <w:spacing w:after="0" w:line="240" w:lineRule="auto"/>
        <w:jc w:val="both"/>
        <w:rPr>
          <w:rFonts w:ascii="Renins Light" w:hAnsi="Renins Light"/>
          <w:color w:val="000000" w:themeColor="text1"/>
          <w:sz w:val="20"/>
          <w:szCs w:val="20"/>
        </w:rPr>
      </w:pPr>
      <w:r w:rsidRPr="0064435A">
        <w:rPr>
          <w:rFonts w:ascii="Renins Light" w:hAnsi="Renins Light"/>
          <w:color w:val="000000" w:themeColor="text1"/>
          <w:sz w:val="20"/>
          <w:szCs w:val="20"/>
        </w:rPr>
        <w:t>Это сумма, в пределах которой страховая компания компенсирует ущерб пострадавшим в результате аварии, произошедшей с застрахованным объектом (лифтом/эскалатором).</w:t>
      </w:r>
    </w:p>
    <w:p w:rsidR="00F17B7D" w:rsidRPr="0064435A" w:rsidRDefault="00F17B7D" w:rsidP="00D042A2">
      <w:pPr>
        <w:spacing w:after="0" w:line="240" w:lineRule="auto"/>
        <w:jc w:val="both"/>
        <w:rPr>
          <w:rFonts w:ascii="Renins Light" w:hAnsi="Renins Light"/>
          <w:color w:val="000000" w:themeColor="text1"/>
          <w:sz w:val="20"/>
          <w:szCs w:val="20"/>
        </w:rPr>
      </w:pPr>
    </w:p>
    <w:p w:rsidR="00035622" w:rsidRPr="0064435A" w:rsidRDefault="00F17B7D" w:rsidP="00992E78">
      <w:pPr>
        <w:spacing w:after="0" w:line="240" w:lineRule="auto"/>
        <w:rPr>
          <w:rFonts w:ascii="Renins Light" w:hAnsi="Renins Light"/>
          <w:color w:val="000000" w:themeColor="text1"/>
          <w:sz w:val="20"/>
          <w:szCs w:val="20"/>
        </w:rPr>
      </w:pPr>
      <w:r w:rsidRPr="0064435A">
        <w:rPr>
          <w:rFonts w:ascii="Renins Light" w:hAnsi="Renins Light"/>
          <w:b/>
          <w:color w:val="56004E"/>
          <w:sz w:val="20"/>
          <w:szCs w:val="20"/>
        </w:rPr>
        <w:t>Стоимость полиса: от 5 000 руб</w:t>
      </w:r>
      <w:r w:rsidR="00992E78" w:rsidRPr="0064435A">
        <w:rPr>
          <w:rFonts w:ascii="Renins Light" w:hAnsi="Renins Light"/>
          <w:b/>
          <w:color w:val="56004E"/>
          <w:sz w:val="20"/>
          <w:szCs w:val="20"/>
        </w:rPr>
        <w:t>.</w:t>
      </w:r>
      <w:r w:rsidRPr="0064435A">
        <w:rPr>
          <w:rFonts w:ascii="Renins Light" w:hAnsi="Renins Light"/>
          <w:color w:val="000000" w:themeColor="text1"/>
          <w:sz w:val="20"/>
          <w:szCs w:val="20"/>
        </w:rPr>
        <w:t xml:space="preserve"> (при количестве лифтов/эскалаторов не более 5</w:t>
      </w:r>
      <w:r w:rsidR="00992E78" w:rsidRPr="0064435A">
        <w:rPr>
          <w:rFonts w:ascii="Renins Light" w:hAnsi="Renins Light"/>
          <w:color w:val="000000" w:themeColor="text1"/>
          <w:sz w:val="20"/>
          <w:szCs w:val="20"/>
        </w:rPr>
        <w:t xml:space="preserve"> е</w:t>
      </w:r>
      <w:r w:rsidRPr="0064435A">
        <w:rPr>
          <w:rFonts w:ascii="Renins Light" w:hAnsi="Renins Light"/>
          <w:color w:val="000000" w:themeColor="text1"/>
          <w:sz w:val="20"/>
          <w:szCs w:val="20"/>
        </w:rPr>
        <w:t xml:space="preserve">диниц). </w:t>
      </w:r>
    </w:p>
    <w:p w:rsidR="00992E78" w:rsidRPr="00992E78" w:rsidRDefault="00992E78" w:rsidP="00992E78">
      <w:pPr>
        <w:spacing w:after="0" w:line="240" w:lineRule="auto"/>
        <w:rPr>
          <w:rFonts w:ascii="Renins Light" w:hAnsi="Renins Light"/>
          <w:color w:val="000000" w:themeColor="tex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"/>
        <w:gridCol w:w="1011"/>
        <w:gridCol w:w="1011"/>
        <w:gridCol w:w="1005"/>
        <w:gridCol w:w="1005"/>
        <w:gridCol w:w="1007"/>
        <w:gridCol w:w="1014"/>
        <w:gridCol w:w="1084"/>
        <w:gridCol w:w="1084"/>
        <w:gridCol w:w="1116"/>
      </w:tblGrid>
      <w:tr w:rsidR="00F17B7D" w:rsidRPr="00F17B7D" w:rsidTr="00F17B7D">
        <w:tc>
          <w:tcPr>
            <w:tcW w:w="10421" w:type="dxa"/>
            <w:gridSpan w:val="10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sz w:val="24"/>
                <w:szCs w:val="24"/>
                <w:lang w:eastAsia="ru-RU"/>
              </w:rPr>
            </w:pPr>
            <w:r>
              <w:rPr>
                <w:rFonts w:ascii="Renins Light" w:eastAsia="Times New Roman" w:hAnsi="Renins Light" w:cs="Times New Roman"/>
                <w:b/>
                <w:bCs/>
                <w:sz w:val="24"/>
                <w:szCs w:val="24"/>
                <w:lang w:eastAsia="ru-RU"/>
              </w:rPr>
              <w:t>Базовая стоимость полиса</w:t>
            </w:r>
            <w:r w:rsidRPr="00F17B7D">
              <w:rPr>
                <w:rFonts w:ascii="Renins Light" w:eastAsia="Times New Roman" w:hAnsi="Renins Light" w:cs="Times New Roman"/>
                <w:b/>
                <w:bCs/>
                <w:sz w:val="24"/>
                <w:szCs w:val="24"/>
                <w:lang w:eastAsia="ru-RU"/>
              </w:rPr>
              <w:t xml:space="preserve"> в зависимости от количества технических устройств на объекте</w:t>
            </w:r>
            <w:r>
              <w:rPr>
                <w:rFonts w:ascii="Renins Light" w:eastAsia="Times New Roman" w:hAnsi="Renins Light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F17B7D" w:rsidRPr="00F17B7D" w:rsidTr="00F17B7D">
        <w:tc>
          <w:tcPr>
            <w:tcW w:w="110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более 5</w:t>
            </w:r>
          </w:p>
        </w:tc>
        <w:tc>
          <w:tcPr>
            <w:tcW w:w="101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6 - 10</w:t>
            </w:r>
          </w:p>
        </w:tc>
        <w:tc>
          <w:tcPr>
            <w:tcW w:w="101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101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101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31 - 40</w:t>
            </w:r>
          </w:p>
        </w:tc>
        <w:tc>
          <w:tcPr>
            <w:tcW w:w="1013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41 - 60</w:t>
            </w:r>
          </w:p>
        </w:tc>
        <w:tc>
          <w:tcPr>
            <w:tcW w:w="102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61 - 80</w:t>
            </w:r>
          </w:p>
        </w:tc>
        <w:tc>
          <w:tcPr>
            <w:tcW w:w="10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81 - 100</w:t>
            </w:r>
          </w:p>
        </w:tc>
        <w:tc>
          <w:tcPr>
            <w:tcW w:w="105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101 - 150</w:t>
            </w:r>
          </w:p>
        </w:tc>
        <w:tc>
          <w:tcPr>
            <w:tcW w:w="111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/>
                <w:sz w:val="24"/>
                <w:szCs w:val="24"/>
                <w:lang w:eastAsia="ru-RU"/>
              </w:rPr>
              <w:t>151 и более</w:t>
            </w:r>
          </w:p>
        </w:tc>
      </w:tr>
      <w:tr w:rsidR="00F17B7D" w:rsidRPr="00F17B7D" w:rsidTr="00F17B7D">
        <w:trPr>
          <w:trHeight w:val="703"/>
        </w:trPr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5 000 руб.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10 000 руб.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18 000 руб.</w:t>
            </w:r>
          </w:p>
        </w:tc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29 000 руб.</w:t>
            </w:r>
          </w:p>
        </w:tc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40 000 руб.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60 000 руб.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77 000 руб.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 xml:space="preserve">110 000 руб. 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130 000 руб.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D" w:rsidRPr="00F17B7D" w:rsidRDefault="00F17B7D" w:rsidP="00F17B7D">
            <w:pPr>
              <w:spacing w:after="0" w:line="240" w:lineRule="auto"/>
              <w:jc w:val="center"/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</w:pPr>
            <w:r w:rsidRPr="00F17B7D">
              <w:rPr>
                <w:rFonts w:ascii="Renins Light" w:eastAsia="Times New Roman" w:hAnsi="Renins Light" w:cs="Times New Roman"/>
                <w:bCs/>
                <w:sz w:val="24"/>
                <w:szCs w:val="24"/>
                <w:lang w:eastAsia="ru-RU"/>
              </w:rPr>
              <w:t>150 000 руб.</w:t>
            </w:r>
          </w:p>
        </w:tc>
      </w:tr>
    </w:tbl>
    <w:p w:rsidR="00F17B7D" w:rsidRPr="00A61800" w:rsidRDefault="00F17B7D" w:rsidP="00347FF2">
      <w:pPr>
        <w:spacing w:after="0" w:line="240" w:lineRule="auto"/>
        <w:jc w:val="both"/>
        <w:rPr>
          <w:rFonts w:ascii="Renins Light" w:hAnsi="Renins Light"/>
          <w:color w:val="000000" w:themeColor="text1"/>
          <w:sz w:val="10"/>
          <w:szCs w:val="10"/>
        </w:rPr>
      </w:pPr>
    </w:p>
    <w:p w:rsidR="00F17B7D" w:rsidRPr="0064435A" w:rsidRDefault="00F17B7D" w:rsidP="00F17B7D">
      <w:pPr>
        <w:shd w:val="clear" w:color="auto" w:fill="FFFFFF"/>
        <w:spacing w:after="0" w:line="240" w:lineRule="auto"/>
        <w:rPr>
          <w:rFonts w:ascii="Renins Light" w:eastAsia="Times New Roman" w:hAnsi="Renins Light" w:cs="Times New Roman"/>
          <w:b/>
          <w:bCs/>
          <w:color w:val="56004E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b/>
          <w:bCs/>
          <w:color w:val="56004E"/>
          <w:sz w:val="20"/>
          <w:szCs w:val="20"/>
          <w:lang w:eastAsia="ru-RU"/>
        </w:rPr>
        <w:t>Документы, необходимые для оформления полиса:</w:t>
      </w:r>
    </w:p>
    <w:p w:rsidR="00992E78" w:rsidRPr="0064435A" w:rsidRDefault="00992E78" w:rsidP="00F17B7D">
      <w:pPr>
        <w:shd w:val="clear" w:color="auto" w:fill="FFFFFF"/>
        <w:spacing w:after="0" w:line="240" w:lineRule="auto"/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1F7A" w:rsidRPr="0064435A" w:rsidRDefault="007D1F7A" w:rsidP="00F17B7D">
      <w:pPr>
        <w:shd w:val="clear" w:color="auto" w:fill="FFFFFF"/>
        <w:spacing w:after="0" w:line="240" w:lineRule="auto"/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17B7D" w:rsidRPr="0064435A" w:rsidRDefault="00F17B7D" w:rsidP="00F17B7D">
      <w:pPr>
        <w:shd w:val="clear" w:color="auto" w:fill="FFFFFF"/>
        <w:spacing w:after="0" w:line="240" w:lineRule="auto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 xml:space="preserve">Если есть </w:t>
      </w:r>
      <w:r w:rsidR="004C3ADA"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 xml:space="preserve">регистрационные документы </w:t>
      </w:r>
      <w:proofErr w:type="spellStart"/>
      <w:r w:rsidR="004C3ADA"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>Ростехнадзора</w:t>
      </w:r>
      <w:proofErr w:type="spellEnd"/>
      <w:r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>:</w:t>
      </w:r>
    </w:p>
    <w:p w:rsidR="00F17B7D" w:rsidRPr="0064435A" w:rsidRDefault="00F17B7D" w:rsidP="00992E78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714" w:hanging="714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свидетельство о регистрации в реестре ОПО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,</w:t>
      </w:r>
    </w:p>
    <w:p w:rsidR="00F17B7D" w:rsidRPr="0064435A" w:rsidRDefault="005A5930" w:rsidP="004C3ADA">
      <w:pPr>
        <w:numPr>
          <w:ilvl w:val="0"/>
          <w:numId w:val="6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заявление на страхование</w:t>
      </w:r>
      <w:r w:rsidR="00DA33A2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 + Приложения 1 и 2</w:t>
      </w: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,</w:t>
      </w:r>
    </w:p>
    <w:p w:rsidR="004E6C34" w:rsidRPr="0064435A" w:rsidRDefault="00F17B7D" w:rsidP="004C3ADA">
      <w:pPr>
        <w:numPr>
          <w:ilvl w:val="0"/>
          <w:numId w:val="6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карта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 учета ОПО</w:t>
      </w:r>
      <w:r w:rsidR="004E6C34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 и сведения, характеризующие ОПО,</w:t>
      </w:r>
    </w:p>
    <w:p w:rsidR="00F17B7D" w:rsidRPr="0064435A" w:rsidRDefault="00F17B7D" w:rsidP="004C3ADA">
      <w:pPr>
        <w:numPr>
          <w:ilvl w:val="0"/>
          <w:numId w:val="6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правоустанавли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вающие документы на объекты ОПО,</w:t>
      </w:r>
    </w:p>
    <w:p w:rsidR="0064435A" w:rsidRPr="0064435A" w:rsidRDefault="00F17B7D" w:rsidP="0064435A">
      <w:pPr>
        <w:numPr>
          <w:ilvl w:val="0"/>
          <w:numId w:val="6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карточка учета предприятия (реквизиты).</w:t>
      </w:r>
    </w:p>
    <w:p w:rsidR="00F17B7D" w:rsidRPr="0064435A" w:rsidRDefault="00F17B7D" w:rsidP="0064435A">
      <w:pPr>
        <w:numPr>
          <w:ilvl w:val="0"/>
          <w:numId w:val="6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>Если нет</w:t>
      </w:r>
      <w:r w:rsidR="004C3ADA"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 xml:space="preserve"> регистрационных документов </w:t>
      </w:r>
      <w:proofErr w:type="spellStart"/>
      <w:r w:rsidR="004C3ADA"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>Ростехнадзора</w:t>
      </w:r>
      <w:proofErr w:type="spellEnd"/>
      <w:r w:rsidRPr="0064435A">
        <w:rPr>
          <w:rFonts w:ascii="Renins Light" w:eastAsia="Times New Roman" w:hAnsi="Renins Light" w:cs="Times New Roman"/>
          <w:b/>
          <w:bCs/>
          <w:color w:val="000000" w:themeColor="text1"/>
          <w:sz w:val="20"/>
          <w:szCs w:val="20"/>
          <w:lang w:eastAsia="ru-RU"/>
        </w:rPr>
        <w:t>:</w:t>
      </w:r>
    </w:p>
    <w:p w:rsidR="00F17B7D" w:rsidRPr="0064435A" w:rsidRDefault="00DA33A2" w:rsidP="00992E78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714" w:hanging="714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з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аявление на страхование</w:t>
      </w: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 + Приложения 1 и 2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,</w:t>
      </w:r>
      <w:r w:rsidR="004C3ADA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4E6C34" w:rsidRPr="0064435A" w:rsidRDefault="004C3ADA" w:rsidP="004C3ADA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 </w:t>
      </w:r>
      <w:r w:rsidR="004E6C34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список лифтов с указанием их регистрационных номеров как технических устройств из паспорта на лифт,</w:t>
      </w:r>
    </w:p>
    <w:p w:rsidR="00F17B7D" w:rsidRPr="0064435A" w:rsidRDefault="00F17B7D" w:rsidP="00992E78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714" w:hanging="714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 xml:space="preserve">правоустанавливающие документы на </w:t>
      </w:r>
      <w:r w:rsidR="004E6C34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лифты/эскалаторы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,</w:t>
      </w:r>
    </w:p>
    <w:p w:rsidR="00F17B7D" w:rsidRPr="0064435A" w:rsidRDefault="00F17B7D" w:rsidP="00992E78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 w:line="240" w:lineRule="auto"/>
        <w:ind w:left="714" w:hanging="714"/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</w:pPr>
      <w:r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карточк</w:t>
      </w:r>
      <w:r w:rsidR="005A5930" w:rsidRPr="0064435A">
        <w:rPr>
          <w:rFonts w:ascii="Renins Light" w:eastAsia="Times New Roman" w:hAnsi="Renins Light" w:cs="Times New Roman"/>
          <w:color w:val="000000" w:themeColor="text1"/>
          <w:sz w:val="20"/>
          <w:szCs w:val="20"/>
          <w:lang w:eastAsia="ru-RU"/>
        </w:rPr>
        <w:t>а учета предприятия (реквизиты).</w:t>
      </w:r>
    </w:p>
    <w:p w:rsidR="0074541D" w:rsidRPr="00D042A2" w:rsidRDefault="0074541D" w:rsidP="00347FF2">
      <w:pPr>
        <w:pStyle w:val="2"/>
        <w:rPr>
          <w:rFonts w:ascii="Renins Light" w:eastAsiaTheme="minorHAnsi" w:hAnsi="Renins Light" w:cstheme="minorBidi"/>
          <w:color w:val="000000" w:themeColor="text1"/>
          <w:sz w:val="16"/>
          <w:szCs w:val="16"/>
        </w:rPr>
      </w:pPr>
    </w:p>
    <w:p w:rsidR="0074541D" w:rsidRPr="00600C26" w:rsidRDefault="001E7A88" w:rsidP="008D5F8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enins Light" w:eastAsiaTheme="minorHAnsi" w:hAnsi="Renins Light" w:cstheme="minorBidi"/>
          <w:color w:val="000000" w:themeColor="text1"/>
          <w:sz w:val="24"/>
          <w:szCs w:val="24"/>
        </w:rPr>
      </w:pPr>
      <w:r w:rsidRPr="00600C26">
        <w:rPr>
          <w:rFonts w:ascii="Renins Light" w:eastAsiaTheme="minorHAnsi" w:hAnsi="Renins Light" w:cstheme="minorBidi"/>
          <w:b/>
          <w:color w:val="000000" w:themeColor="text1"/>
          <w:sz w:val="24"/>
          <w:szCs w:val="24"/>
        </w:rPr>
        <w:t xml:space="preserve">Мы </w:t>
      </w:r>
      <w:r w:rsidR="0074541D" w:rsidRPr="00600C26">
        <w:rPr>
          <w:rFonts w:ascii="Renins Light" w:eastAsiaTheme="minorHAnsi" w:hAnsi="Renins Light" w:cstheme="minorBidi"/>
          <w:b/>
          <w:color w:val="000000" w:themeColor="text1"/>
          <w:sz w:val="24"/>
          <w:szCs w:val="24"/>
        </w:rPr>
        <w:t>готов</w:t>
      </w:r>
      <w:r w:rsidRPr="00600C26">
        <w:rPr>
          <w:rFonts w:ascii="Renins Light" w:eastAsiaTheme="minorHAnsi" w:hAnsi="Renins Light" w:cstheme="minorBidi"/>
          <w:b/>
          <w:color w:val="000000" w:themeColor="text1"/>
          <w:sz w:val="24"/>
          <w:szCs w:val="24"/>
        </w:rPr>
        <w:t>ы</w:t>
      </w:r>
      <w:r w:rsidR="0074541D" w:rsidRPr="00600C26">
        <w:rPr>
          <w:rFonts w:ascii="Renins Light" w:eastAsiaTheme="minorHAnsi" w:hAnsi="Renins Light" w:cstheme="minorBidi"/>
          <w:b/>
          <w:color w:val="000000" w:themeColor="text1"/>
          <w:sz w:val="24"/>
          <w:szCs w:val="24"/>
        </w:rPr>
        <w:t xml:space="preserve"> выехать к Вам в удобное для Вас время</w:t>
      </w:r>
      <w:r w:rsidR="0074541D"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для разъяснения всех нововведений законодательства</w:t>
      </w:r>
      <w:r w:rsidR="00D13FEE"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и</w:t>
      </w:r>
      <w:r w:rsidR="0074541D"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консультации по страхованию ответственности </w:t>
      </w:r>
      <w:r w:rsidR="00736311"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владельцев </w:t>
      </w:r>
      <w:r w:rsidR="006E3510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>лифтов в многоквартирных домах</w:t>
      </w:r>
      <w:r w:rsidR="0074541D"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и оформления страховой документации. </w:t>
      </w:r>
    </w:p>
    <w:p w:rsidR="00C00D3C" w:rsidRPr="00600C26" w:rsidRDefault="00736311" w:rsidP="008D5F8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enins Light" w:eastAsiaTheme="minorHAnsi" w:hAnsi="Renins Light" w:cstheme="minorBidi"/>
          <w:color w:val="000000" w:themeColor="text1"/>
          <w:sz w:val="24"/>
          <w:szCs w:val="24"/>
        </w:rPr>
      </w:pPr>
      <w:r w:rsidRPr="00600C26">
        <w:rPr>
          <w:rFonts w:ascii="Renins Light" w:eastAsiaTheme="minorHAnsi" w:hAnsi="Renins Light" w:cstheme="minorBidi"/>
          <w:b/>
          <w:color w:val="000000" w:themeColor="text1"/>
          <w:sz w:val="24"/>
          <w:szCs w:val="24"/>
        </w:rPr>
        <w:t>Профессиональную консультацию</w:t>
      </w:r>
      <w:r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по вопросам страхов</w:t>
      </w:r>
      <w:r w:rsidR="006E3510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ания ответственности владельцев лифтов в многоквартирных домах </w:t>
      </w:r>
      <w:r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Вы так можете получить </w:t>
      </w:r>
      <w:r w:rsidRPr="00600C26">
        <w:rPr>
          <w:rFonts w:ascii="Renins Light" w:eastAsiaTheme="minorHAnsi" w:hAnsi="Renins Light" w:cstheme="minorBidi"/>
          <w:b/>
          <w:color w:val="000000" w:themeColor="text1"/>
          <w:sz w:val="24"/>
          <w:szCs w:val="24"/>
        </w:rPr>
        <w:t>по телефону:</w:t>
      </w:r>
      <w:r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 </w:t>
      </w:r>
      <w:r w:rsidR="0064435A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>980-22-21</w:t>
      </w:r>
      <w:r w:rsidRPr="00600C26">
        <w:rPr>
          <w:rFonts w:ascii="Renins Light" w:eastAsiaTheme="minorHAnsi" w:hAnsi="Renins Light" w:cstheme="minorBidi"/>
          <w:color w:val="000000" w:themeColor="text1"/>
          <w:sz w:val="24"/>
          <w:szCs w:val="24"/>
        </w:rPr>
        <w:t xml:space="preserve">  </w:t>
      </w:r>
    </w:p>
    <w:p w:rsidR="00736311" w:rsidRPr="00D042A2" w:rsidRDefault="00736311" w:rsidP="00736311">
      <w:pPr>
        <w:spacing w:after="0"/>
        <w:rPr>
          <w:rStyle w:val="SUBST"/>
          <w:rFonts w:ascii="Renins Light" w:hAnsi="Renins Light" w:cs="Arial"/>
          <w:i w:val="0"/>
          <w:color w:val="000000" w:themeColor="text1"/>
          <w:sz w:val="6"/>
          <w:szCs w:val="6"/>
        </w:rPr>
      </w:pPr>
    </w:p>
    <w:p w:rsidR="00D02FEF" w:rsidRPr="00D02FEF" w:rsidRDefault="00D02FEF" w:rsidP="00736311">
      <w:pPr>
        <w:spacing w:after="0"/>
        <w:rPr>
          <w:rFonts w:ascii="Renins Light" w:hAnsi="Renins Light"/>
          <w:b/>
          <w:bCs/>
          <w:iCs/>
          <w:color w:val="56004E"/>
          <w:sz w:val="6"/>
          <w:szCs w:val="6"/>
        </w:rPr>
      </w:pPr>
    </w:p>
    <w:p w:rsidR="00347FF2" w:rsidRPr="00D02FEF" w:rsidRDefault="00347FF2" w:rsidP="00736311">
      <w:pPr>
        <w:spacing w:after="0"/>
        <w:rPr>
          <w:rFonts w:ascii="Renins Light" w:hAnsi="Renins Light"/>
          <w:b/>
          <w:bCs/>
          <w:iCs/>
          <w:color w:val="56004E"/>
          <w:sz w:val="24"/>
          <w:szCs w:val="24"/>
        </w:rPr>
      </w:pPr>
      <w:r w:rsidRPr="00D02FEF">
        <w:rPr>
          <w:rFonts w:ascii="Renins Light" w:hAnsi="Renins Light"/>
          <w:b/>
          <w:bCs/>
          <w:iCs/>
          <w:color w:val="56004E"/>
          <w:sz w:val="24"/>
          <w:szCs w:val="24"/>
        </w:rPr>
        <w:t>Факты о компан</w:t>
      </w:r>
      <w:proofErr w:type="gramStart"/>
      <w:r w:rsidRPr="00D02FEF">
        <w:rPr>
          <w:rFonts w:ascii="Renins Light" w:hAnsi="Renins Light"/>
          <w:b/>
          <w:bCs/>
          <w:iCs/>
          <w:color w:val="56004E"/>
          <w:sz w:val="24"/>
          <w:szCs w:val="24"/>
        </w:rPr>
        <w:t>ии  ООО</w:t>
      </w:r>
      <w:proofErr w:type="gramEnd"/>
      <w:r w:rsidRPr="00D02FEF">
        <w:rPr>
          <w:rFonts w:ascii="Renins Light" w:hAnsi="Renins Light"/>
          <w:b/>
          <w:bCs/>
          <w:iCs/>
          <w:color w:val="56004E"/>
          <w:sz w:val="24"/>
          <w:szCs w:val="24"/>
        </w:rPr>
        <w:t xml:space="preserve"> «Группа Ренессанс Страхование»: </w:t>
      </w:r>
    </w:p>
    <w:p w:rsidR="00347FF2" w:rsidRPr="0064435A" w:rsidRDefault="00347FF2" w:rsidP="00347FF2">
      <w:pPr>
        <w:keepNext/>
        <w:numPr>
          <w:ilvl w:val="0"/>
          <w:numId w:val="1"/>
        </w:numPr>
        <w:spacing w:after="0" w:line="240" w:lineRule="auto"/>
        <w:ind w:left="0"/>
        <w:jc w:val="both"/>
        <w:rPr>
          <w:rFonts w:ascii="Renins Light" w:hAnsi="Renins Light"/>
          <w:bCs/>
          <w:iCs/>
          <w:color w:val="000000" w:themeColor="text1"/>
          <w:sz w:val="20"/>
          <w:szCs w:val="20"/>
        </w:rPr>
      </w:pPr>
      <w:r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 xml:space="preserve">Ренессанс Страхование </w:t>
      </w:r>
      <w:r w:rsidR="0011542C"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 xml:space="preserve">входит в </w:t>
      </w:r>
      <w:r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>Национальн</w:t>
      </w:r>
      <w:r w:rsidR="0011542C"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>ый</w:t>
      </w:r>
      <w:r w:rsidR="00C75142"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 xml:space="preserve"> С</w:t>
      </w:r>
      <w:r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>оюз страховщиков ответственности</w:t>
      </w:r>
      <w:r w:rsidR="00C571D6"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 xml:space="preserve"> (НССО)</w:t>
      </w:r>
      <w:r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>.</w:t>
      </w:r>
    </w:p>
    <w:p w:rsidR="00347FF2" w:rsidRPr="0064435A" w:rsidRDefault="00347FF2" w:rsidP="00347FF2">
      <w:pPr>
        <w:keepNext/>
        <w:numPr>
          <w:ilvl w:val="0"/>
          <w:numId w:val="1"/>
        </w:numPr>
        <w:spacing w:after="0" w:line="240" w:lineRule="auto"/>
        <w:ind w:left="0"/>
        <w:jc w:val="both"/>
        <w:rPr>
          <w:rFonts w:ascii="Renins Light" w:hAnsi="Renins Light"/>
          <w:bCs/>
          <w:iCs/>
          <w:color w:val="000000" w:themeColor="text1"/>
          <w:sz w:val="20"/>
          <w:szCs w:val="20"/>
        </w:rPr>
      </w:pPr>
      <w:r w:rsidRPr="0064435A">
        <w:rPr>
          <w:rFonts w:ascii="Renins Light" w:hAnsi="Renins Light"/>
          <w:bCs/>
          <w:iCs/>
          <w:color w:val="000000" w:themeColor="text1"/>
          <w:sz w:val="20"/>
          <w:szCs w:val="20"/>
        </w:rPr>
        <w:t xml:space="preserve">Ренессанс Страхование - одна из крупнейших российских компаний на российском рынке с размером уставного капитала 2,2  млрд. рублей. </w:t>
      </w:r>
    </w:p>
    <w:p w:rsidR="00347FF2" w:rsidRPr="0064435A" w:rsidRDefault="00347FF2" w:rsidP="00347FF2">
      <w:pPr>
        <w:keepNext/>
        <w:numPr>
          <w:ilvl w:val="0"/>
          <w:numId w:val="1"/>
        </w:numPr>
        <w:spacing w:after="0" w:line="240" w:lineRule="auto"/>
        <w:ind w:left="0"/>
        <w:jc w:val="both"/>
        <w:rPr>
          <w:rFonts w:ascii="Renins Light" w:hAnsi="Renins Light"/>
          <w:bCs/>
          <w:iCs/>
          <w:color w:val="000000" w:themeColor="text1"/>
          <w:sz w:val="20"/>
          <w:szCs w:val="20"/>
        </w:rPr>
      </w:pPr>
      <w:r w:rsidRPr="0064435A">
        <w:rPr>
          <w:rFonts w:ascii="Renins Light" w:hAnsi="Renins Light" w:cs="Arial"/>
          <w:color w:val="000000" w:themeColor="text1"/>
          <w:sz w:val="20"/>
          <w:szCs w:val="20"/>
        </w:rPr>
        <w:t>Финансовая устойчивость и мировой уровень качества предоставляемых нашей компанией услуг подтверждены наивысшим рейтингом надежности «А++» агентства «Эксперт РА».</w:t>
      </w:r>
    </w:p>
    <w:p w:rsidR="00347FF2" w:rsidRPr="0064435A" w:rsidRDefault="00347FF2" w:rsidP="00347FF2">
      <w:pPr>
        <w:keepNext/>
        <w:numPr>
          <w:ilvl w:val="0"/>
          <w:numId w:val="1"/>
        </w:numPr>
        <w:spacing w:after="0" w:line="240" w:lineRule="auto"/>
        <w:ind w:left="0"/>
        <w:jc w:val="both"/>
        <w:rPr>
          <w:rFonts w:ascii="Renins Light" w:hAnsi="Renins Light"/>
          <w:bCs/>
          <w:iCs/>
          <w:color w:val="000000"/>
          <w:sz w:val="20"/>
          <w:szCs w:val="20"/>
        </w:rPr>
      </w:pPr>
      <w:r w:rsidRPr="0064435A">
        <w:rPr>
          <w:rFonts w:ascii="Renins Light" w:hAnsi="Renins Light"/>
          <w:bCs/>
          <w:iCs/>
          <w:color w:val="000000"/>
          <w:sz w:val="20"/>
          <w:szCs w:val="20"/>
        </w:rPr>
        <w:t xml:space="preserve">Наш </w:t>
      </w:r>
      <w:r w:rsidRPr="0064435A">
        <w:rPr>
          <w:rFonts w:ascii="Renins Light" w:hAnsi="Renins Light"/>
          <w:bCs/>
          <w:iCs/>
          <w:color w:val="000000"/>
          <w:sz w:val="20"/>
          <w:szCs w:val="20"/>
          <w:lang w:val="en-US"/>
        </w:rPr>
        <w:t>call</w:t>
      </w:r>
      <w:r w:rsidRPr="0064435A">
        <w:rPr>
          <w:rFonts w:ascii="Renins Light" w:hAnsi="Renins Light"/>
          <w:bCs/>
          <w:iCs/>
          <w:color w:val="000000"/>
          <w:sz w:val="20"/>
          <w:szCs w:val="20"/>
        </w:rPr>
        <w:t xml:space="preserve">-центр работает 24 часа в </w:t>
      </w:r>
      <w:proofErr w:type="gramStart"/>
      <w:r w:rsidRPr="0064435A">
        <w:rPr>
          <w:rFonts w:ascii="Renins Light" w:hAnsi="Renins Light"/>
          <w:bCs/>
          <w:iCs/>
          <w:color w:val="000000"/>
          <w:sz w:val="20"/>
          <w:szCs w:val="20"/>
        </w:rPr>
        <w:t>сутки</w:t>
      </w:r>
      <w:proofErr w:type="gramEnd"/>
      <w:r w:rsidRPr="0064435A">
        <w:rPr>
          <w:rFonts w:ascii="Renins Light" w:hAnsi="Renins Light"/>
          <w:bCs/>
          <w:iCs/>
          <w:color w:val="000000"/>
          <w:sz w:val="20"/>
          <w:szCs w:val="20"/>
        </w:rPr>
        <w:t xml:space="preserve"> и мы готовы ответить на ваши вопросы и оказать вам помощь в любое время. </w:t>
      </w:r>
    </w:p>
    <w:sectPr w:rsidR="00347FF2" w:rsidRPr="0064435A" w:rsidSect="00A618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nins Light">
    <w:panose1 w:val="02000506060000020004"/>
    <w:charset w:val="CC"/>
    <w:family w:val="auto"/>
    <w:pitch w:val="variable"/>
    <w:sig w:usb0="8000028B" w:usb1="1000004A" w:usb2="0000001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5B4E"/>
    <w:multiLevelType w:val="hybridMultilevel"/>
    <w:tmpl w:val="1000190A"/>
    <w:lvl w:ilvl="0" w:tplc="F1247F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2CD23"/>
        <w:sz w:val="20"/>
        <w:szCs w:val="20"/>
      </w:rPr>
    </w:lvl>
    <w:lvl w:ilvl="1" w:tplc="D00CD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7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E93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E1F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68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895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601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8F6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519D2"/>
    <w:multiLevelType w:val="multilevel"/>
    <w:tmpl w:val="8CAC08F8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13D98"/>
    <w:multiLevelType w:val="multilevel"/>
    <w:tmpl w:val="704E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24102"/>
    <w:multiLevelType w:val="multilevel"/>
    <w:tmpl w:val="412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53977"/>
    <w:multiLevelType w:val="multilevel"/>
    <w:tmpl w:val="8D1C112C"/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2CD2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F30B3"/>
    <w:multiLevelType w:val="multilevel"/>
    <w:tmpl w:val="1B6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086"/>
    <w:rsid w:val="00002FCD"/>
    <w:rsid w:val="000149AE"/>
    <w:rsid w:val="00026C2F"/>
    <w:rsid w:val="00035622"/>
    <w:rsid w:val="00060785"/>
    <w:rsid w:val="0011542C"/>
    <w:rsid w:val="00147B99"/>
    <w:rsid w:val="001E7A88"/>
    <w:rsid w:val="00224A91"/>
    <w:rsid w:val="0025070F"/>
    <w:rsid w:val="0029778A"/>
    <w:rsid w:val="002E7100"/>
    <w:rsid w:val="0034054D"/>
    <w:rsid w:val="00347FF2"/>
    <w:rsid w:val="004C3ADA"/>
    <w:rsid w:val="004E009D"/>
    <w:rsid w:val="004E6C34"/>
    <w:rsid w:val="00532953"/>
    <w:rsid w:val="00561569"/>
    <w:rsid w:val="005A5930"/>
    <w:rsid w:val="00600C26"/>
    <w:rsid w:val="00634A49"/>
    <w:rsid w:val="0064435A"/>
    <w:rsid w:val="00653F63"/>
    <w:rsid w:val="006B28BB"/>
    <w:rsid w:val="006E3510"/>
    <w:rsid w:val="006E7888"/>
    <w:rsid w:val="00703215"/>
    <w:rsid w:val="00730E0A"/>
    <w:rsid w:val="00736311"/>
    <w:rsid w:val="0074541D"/>
    <w:rsid w:val="007A534C"/>
    <w:rsid w:val="007C5ECC"/>
    <w:rsid w:val="007D1F7A"/>
    <w:rsid w:val="00826C10"/>
    <w:rsid w:val="008836FE"/>
    <w:rsid w:val="00892F7B"/>
    <w:rsid w:val="0089344E"/>
    <w:rsid w:val="008D5F8D"/>
    <w:rsid w:val="008E1607"/>
    <w:rsid w:val="00992E78"/>
    <w:rsid w:val="009F073A"/>
    <w:rsid w:val="00A22808"/>
    <w:rsid w:val="00A61800"/>
    <w:rsid w:val="00AA27B9"/>
    <w:rsid w:val="00BC7086"/>
    <w:rsid w:val="00BD6689"/>
    <w:rsid w:val="00BF51B6"/>
    <w:rsid w:val="00C00D3C"/>
    <w:rsid w:val="00C571D6"/>
    <w:rsid w:val="00C75142"/>
    <w:rsid w:val="00D02FEF"/>
    <w:rsid w:val="00D042A2"/>
    <w:rsid w:val="00D13FEE"/>
    <w:rsid w:val="00D16B84"/>
    <w:rsid w:val="00DA33A2"/>
    <w:rsid w:val="00DD7B4B"/>
    <w:rsid w:val="00E51823"/>
    <w:rsid w:val="00EB4E07"/>
    <w:rsid w:val="00F17B7D"/>
    <w:rsid w:val="00F3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2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454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4541D"/>
    <w:rPr>
      <w:rFonts w:ascii="Times New Roman" w:eastAsia="Times New Roman" w:hAnsi="Times New Roman" w:cs="Times New Roman"/>
      <w:sz w:val="20"/>
      <w:szCs w:val="20"/>
    </w:rPr>
  </w:style>
  <w:style w:type="character" w:customStyle="1" w:styleId="SUBST">
    <w:name w:val="__SUBST"/>
    <w:rsid w:val="0074541D"/>
    <w:rPr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826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1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7B7D"/>
    <w:rPr>
      <w:b/>
      <w:bCs/>
    </w:rPr>
  </w:style>
  <w:style w:type="character" w:styleId="a8">
    <w:name w:val="Hyperlink"/>
    <w:basedOn w:val="a0"/>
    <w:uiPriority w:val="99"/>
    <w:semiHidden/>
    <w:unhideWhenUsed/>
    <w:rsid w:val="00F17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073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75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890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902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490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551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079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345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168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197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357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2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95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037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644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353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423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777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65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939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509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234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05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018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92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892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10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030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15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562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524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607">
          <w:marLeft w:val="-105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883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64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55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383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89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08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518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907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732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198">
          <w:marLeft w:val="-10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Insurance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kanovol</dc:creator>
  <cp:keywords/>
  <dc:description/>
  <cp:lastModifiedBy>AulovOl</cp:lastModifiedBy>
  <cp:revision>2</cp:revision>
  <cp:lastPrinted>2011-07-14T10:30:00Z</cp:lastPrinted>
  <dcterms:created xsi:type="dcterms:W3CDTF">2012-11-14T10:01:00Z</dcterms:created>
  <dcterms:modified xsi:type="dcterms:W3CDTF">2012-11-14T10:01:00Z</dcterms:modified>
</cp:coreProperties>
</file>